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3431F" w14:textId="77777777" w:rsidR="00D10A8E" w:rsidRDefault="00D10A8E" w:rsidP="00D10A8E">
      <w:pPr>
        <w:pStyle w:val="a3"/>
        <w:widowControl w:val="0"/>
        <w:tabs>
          <w:tab w:val="left" w:pos="343"/>
        </w:tabs>
        <w:autoSpaceDE w:val="0"/>
        <w:autoSpaceDN w:val="0"/>
        <w:spacing w:after="4" w:line="240" w:lineRule="auto"/>
        <w:ind w:left="261" w:right="-1"/>
        <w:jc w:val="center"/>
        <w:rPr>
          <w:rFonts w:ascii="Times New Roman" w:eastAsia="Times New Roman" w:hAnsi="Times New Roman" w:cs="Times New Roman"/>
          <w:b/>
        </w:rPr>
      </w:pPr>
      <w:r>
        <w:rPr>
          <w:rFonts w:ascii="Times New Roman" w:eastAsia="Times New Roman" w:hAnsi="Times New Roman" w:cs="Times New Roman"/>
          <w:b/>
        </w:rPr>
        <w:t xml:space="preserve">                                                                                                     Приложение к ООП ООО</w:t>
      </w:r>
    </w:p>
    <w:p w14:paraId="4CA2E084" w14:textId="77777777" w:rsidR="00D10A8E" w:rsidRDefault="00D10A8E" w:rsidP="00D10A8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2454134C" w14:textId="77777777" w:rsidR="00D10A8E"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sidRPr="00C248A7">
              <w:rPr>
                <w:rFonts w:ascii="Times New Roman" w:hAnsi="Times New Roman" w:cs="Times New Roman"/>
                <w:color w:val="FF0000"/>
                <w:sz w:val="24"/>
                <w:szCs w:val="24"/>
                <w:lang w:val="ru-RU"/>
              </w:rPr>
              <w:lastRenderedPageBreak/>
              <w:t>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lastRenderedPageBreak/>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 xml:space="preserve">приводить примеры адаптации человека к разнообразным природным </w:t>
            </w:r>
            <w:r w:rsidRPr="00F529FB">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 xml:space="preserve">оценивать условия отдельных территорий для размещения предприятий </w:t>
            </w:r>
            <w:r w:rsidRPr="00CC6C59">
              <w:rPr>
                <w:rFonts w:ascii="Times New Roman" w:hAnsi="Times New Roman" w:cs="Times New Roman"/>
                <w:sz w:val="24"/>
                <w:szCs w:val="24"/>
                <w:lang w:val="ru-RU"/>
              </w:rPr>
              <w:lastRenderedPageBreak/>
              <w:t>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w:t>
      </w:r>
      <w:r w:rsidRPr="00253D62">
        <w:rPr>
          <w:rFonts w:ascii="Times New Roman" w:hAnsi="Times New Roman" w:cs="Times New Roman"/>
          <w:sz w:val="24"/>
          <w:szCs w:val="24"/>
        </w:rPr>
        <w:lastRenderedPageBreak/>
        <w:t xml:space="preserve">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lastRenderedPageBreak/>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0" w:name="_Hlk175836860"/>
      <w:r w:rsidRPr="00577E2D">
        <w:rPr>
          <w:rFonts w:ascii="Times New Roman" w:eastAsia="Times New Roman" w:hAnsi="Times New Roman" w:cs="Times New Roman"/>
          <w:sz w:val="24"/>
        </w:rPr>
        <w:lastRenderedPageBreak/>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0"/>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208DF" w14:textId="77777777" w:rsidR="005A1581" w:rsidRDefault="005A1581" w:rsidP="00A60CE5">
      <w:pPr>
        <w:spacing w:after="0" w:line="240" w:lineRule="auto"/>
      </w:pPr>
      <w:r>
        <w:separator/>
      </w:r>
    </w:p>
  </w:endnote>
  <w:endnote w:type="continuationSeparator" w:id="0">
    <w:p w14:paraId="10EA280F" w14:textId="77777777" w:rsidR="005A1581" w:rsidRDefault="005A1581"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C18DF" w14:textId="77777777" w:rsidR="005A1581" w:rsidRDefault="005A1581" w:rsidP="00A60CE5">
      <w:pPr>
        <w:spacing w:after="0" w:line="240" w:lineRule="auto"/>
      </w:pPr>
      <w:r>
        <w:separator/>
      </w:r>
    </w:p>
  </w:footnote>
  <w:footnote w:type="continuationSeparator" w:id="0">
    <w:p w14:paraId="5C692C28" w14:textId="77777777" w:rsidR="005A1581" w:rsidRDefault="005A1581"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2638" w14:textId="77777777" w:rsidR="005A1581" w:rsidRDefault="005A1581">
    <w:pPr>
      <w:pStyle w:val="a5"/>
    </w:pPr>
  </w:p>
  <w:p w14:paraId="64DD00A5" w14:textId="77777777" w:rsidR="005A1581" w:rsidRDefault="005A158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1414A3"/>
    <w:rsid w:val="002015DD"/>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723A9"/>
    <w:rsid w:val="006B5246"/>
    <w:rsid w:val="007017E5"/>
    <w:rsid w:val="00724E4C"/>
    <w:rsid w:val="007344C6"/>
    <w:rsid w:val="007713B8"/>
    <w:rsid w:val="0078171E"/>
    <w:rsid w:val="00783D5E"/>
    <w:rsid w:val="007A1957"/>
    <w:rsid w:val="007B034A"/>
    <w:rsid w:val="00816C9D"/>
    <w:rsid w:val="0087128B"/>
    <w:rsid w:val="008735E7"/>
    <w:rsid w:val="008C7A0B"/>
    <w:rsid w:val="008F7993"/>
    <w:rsid w:val="00910040"/>
    <w:rsid w:val="00925DE6"/>
    <w:rsid w:val="009711BA"/>
    <w:rsid w:val="00986D3F"/>
    <w:rsid w:val="009C1B62"/>
    <w:rsid w:val="00A159CD"/>
    <w:rsid w:val="00A267EF"/>
    <w:rsid w:val="00A60CE5"/>
    <w:rsid w:val="00A9008A"/>
    <w:rsid w:val="00A958F0"/>
    <w:rsid w:val="00A96FCB"/>
    <w:rsid w:val="00AA00DD"/>
    <w:rsid w:val="00AE79BB"/>
    <w:rsid w:val="00B41F6D"/>
    <w:rsid w:val="00B47B07"/>
    <w:rsid w:val="00B63D95"/>
    <w:rsid w:val="00B831AD"/>
    <w:rsid w:val="00B932EF"/>
    <w:rsid w:val="00BF1927"/>
    <w:rsid w:val="00C0287D"/>
    <w:rsid w:val="00C15C3E"/>
    <w:rsid w:val="00C248A7"/>
    <w:rsid w:val="00C417DD"/>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97E"/>
  <w15:docId w15:val="{261213AF-C30D-4B6D-9E5F-9ACB1A2C8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760EB-F80B-4DD1-AAA5-884554980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16</Pages>
  <Words>5466</Words>
  <Characters>31158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Zina</cp:lastModifiedBy>
  <cp:revision>56</cp:revision>
  <dcterms:created xsi:type="dcterms:W3CDTF">2024-07-06T09:58:00Z</dcterms:created>
  <dcterms:modified xsi:type="dcterms:W3CDTF">2024-08-29T12:19:00Z</dcterms:modified>
</cp:coreProperties>
</file>